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C32FD" w14:textId="77777777" w:rsidR="00607356" w:rsidRDefault="00607356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</w:p>
    <w:p w14:paraId="46CC32FE" w14:textId="00876C75" w:rsidR="00607356" w:rsidRDefault="00840D11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paper:</w:t>
      </w:r>
      <w:r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>
        <w:rPr>
          <w:rFonts w:ascii="Calibri" w:eastAsia="SimSun" w:hAnsi="Calibri" w:hint="eastAsia"/>
          <w:color w:val="00558C"/>
          <w:sz w:val="24"/>
          <w:szCs w:val="24"/>
          <w:lang w:val="en-US" w:eastAsia="zh-CN"/>
        </w:rPr>
        <w:t>ENG20</w:t>
      </w:r>
      <w:r>
        <w:rPr>
          <w:rFonts w:ascii="Calibri" w:hAnsi="Calibri"/>
          <w:color w:val="00558C"/>
          <w:sz w:val="24"/>
          <w:szCs w:val="24"/>
        </w:rPr>
        <w:t>-</w:t>
      </w:r>
      <w:r w:rsidR="002E7D7E">
        <w:rPr>
          <w:rFonts w:ascii="Calibri" w:hAnsi="Calibri"/>
          <w:color w:val="00558C"/>
          <w:sz w:val="24"/>
          <w:szCs w:val="24"/>
        </w:rPr>
        <w:t>3.1.3.2</w:t>
      </w:r>
    </w:p>
    <w:p w14:paraId="46CC32FF" w14:textId="77777777" w:rsidR="00607356" w:rsidRDefault="00607356">
      <w:pPr>
        <w:pStyle w:val="BodyText"/>
        <w:tabs>
          <w:tab w:val="left" w:pos="2835"/>
        </w:tabs>
        <w:rPr>
          <w:rFonts w:ascii="Calibri" w:hAnsi="Calibri"/>
        </w:rPr>
      </w:pPr>
    </w:p>
    <w:p w14:paraId="46CC3300" w14:textId="77777777" w:rsidR="00607356" w:rsidRDefault="00840D11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46CC3301" w14:textId="77777777" w:rsidR="00607356" w:rsidRDefault="00840D1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46CC3302" w14:textId="77777777" w:rsidR="00607356" w:rsidRDefault="00840D11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Input</w:t>
      </w:r>
    </w:p>
    <w:p w14:paraId="46CC3303" w14:textId="77777777" w:rsidR="00607356" w:rsidRDefault="00840D11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</w:t>
      </w:r>
      <w:r>
        <w:rPr>
          <w:rFonts w:ascii="Calibri" w:eastAsia="SimSun" w:hAnsi="Calibri" w:cs="Arial" w:hint="eastAsia"/>
          <w:lang w:val="en-US" w:eastAsia="zh-CN"/>
        </w:rPr>
        <w:t>DTEC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46CC3304" w14:textId="77777777" w:rsidR="00607356" w:rsidRDefault="00607356">
      <w:pPr>
        <w:pStyle w:val="BodyText"/>
        <w:tabs>
          <w:tab w:val="left" w:pos="2835"/>
        </w:tabs>
        <w:rPr>
          <w:rFonts w:ascii="Calibri" w:hAnsi="Calibri"/>
        </w:rPr>
      </w:pPr>
    </w:p>
    <w:p w14:paraId="46CC3305" w14:textId="0E9F8E94" w:rsidR="00607356" w:rsidRDefault="00840D1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  <w:sz w:val="22"/>
        </w:rPr>
        <w:footnoteReference w:id="1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3.1</w:t>
      </w:r>
    </w:p>
    <w:p w14:paraId="46CC3306" w14:textId="77777777" w:rsidR="00607356" w:rsidRDefault="00840D1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</w:r>
      <w:r>
        <w:rPr>
          <w:rFonts w:ascii="Calibri" w:hAnsi="Calibri"/>
        </w:rPr>
        <w:t>…………………………………</w:t>
      </w:r>
    </w:p>
    <w:p w14:paraId="46CC3307" w14:textId="77777777" w:rsidR="00607356" w:rsidRDefault="00840D11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</w:rPr>
        <w:t>C</w:t>
      </w:r>
      <w:r>
        <w:rPr>
          <w:rFonts w:ascii="Calibri" w:eastAsia="SimSun" w:hAnsi="Calibri" w:hint="eastAsia"/>
          <w:lang w:val="en-US" w:eastAsia="zh-CN"/>
        </w:rPr>
        <w:t>HINA</w:t>
      </w:r>
      <w:r>
        <w:rPr>
          <w:rFonts w:ascii="Calibri" w:hAnsi="Calibri" w:hint="eastAsia"/>
        </w:rPr>
        <w:t xml:space="preserve"> MSA</w:t>
      </w:r>
    </w:p>
    <w:p w14:paraId="46CC3308" w14:textId="77777777" w:rsidR="00607356" w:rsidRDefault="00840D11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6CC3309" w14:textId="77777777" w:rsidR="00607356" w:rsidRDefault="00840D11">
      <w:pPr>
        <w:pStyle w:val="Title"/>
      </w:pPr>
      <w:r>
        <w:rPr>
          <w:rFonts w:hint="eastAsia"/>
        </w:rPr>
        <w:t xml:space="preserve">Proposals for updating G1063 on </w:t>
      </w:r>
    </w:p>
    <w:p w14:paraId="46CC330A" w14:textId="77777777" w:rsidR="00607356" w:rsidRDefault="00840D11">
      <w:pPr>
        <w:pStyle w:val="Title"/>
      </w:pPr>
      <w:r>
        <w:rPr>
          <w:rFonts w:hint="eastAsia"/>
        </w:rPr>
        <w:t>Agreements for Complementary use of Lighthouse</w:t>
      </w:r>
    </w:p>
    <w:p w14:paraId="46CC330B" w14:textId="77777777" w:rsidR="00607356" w:rsidRDefault="00840D11">
      <w:pPr>
        <w:pStyle w:val="Heading1"/>
      </w:pPr>
      <w:r>
        <w:t>Summary</w:t>
      </w:r>
    </w:p>
    <w:p w14:paraId="46CC330C" w14:textId="77777777" w:rsidR="00607356" w:rsidRDefault="00840D1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According to the </w:t>
      </w:r>
      <w:r>
        <w:rPr>
          <w:rFonts w:ascii="Calibri" w:eastAsia="SimSun" w:hAnsi="Calibri" w:hint="eastAsia"/>
          <w:lang w:val="en-US" w:eastAsia="zh-CN"/>
        </w:rPr>
        <w:t>discussion</w:t>
      </w:r>
      <w:r>
        <w:rPr>
          <w:rFonts w:ascii="Calibri" w:hAnsi="Calibri"/>
        </w:rPr>
        <w:t xml:space="preserve"> of ENG19</w:t>
      </w:r>
      <w:r>
        <w:rPr>
          <w:rFonts w:ascii="Calibri" w:eastAsia="SimSun" w:hAnsi="Calibri" w:hint="eastAsia"/>
          <w:lang w:val="en-US" w:eastAsia="zh-CN"/>
        </w:rPr>
        <w:t>，</w:t>
      </w:r>
      <w:r>
        <w:rPr>
          <w:rFonts w:ascii="Calibri" w:hAnsi="Calibri"/>
        </w:rPr>
        <w:t xml:space="preserve">the revision work of G1063 guideline has been completed and an updated version </w:t>
      </w:r>
      <w:r>
        <w:rPr>
          <w:rFonts w:ascii="Calibri" w:eastAsia="SimSun" w:hAnsi="Calibri" w:hint="eastAsia"/>
          <w:lang w:eastAsia="zh-CN"/>
        </w:rPr>
        <w:t>has been</w:t>
      </w:r>
      <w:r>
        <w:rPr>
          <w:rFonts w:ascii="Calibri" w:hAnsi="Calibri"/>
        </w:rPr>
        <w:t xml:space="preserve"> draft</w:t>
      </w:r>
      <w:r>
        <w:rPr>
          <w:rFonts w:ascii="Calibri" w:eastAsia="SimSun" w:hAnsi="Calibri" w:hint="eastAsia"/>
          <w:lang w:eastAsia="zh-CN"/>
        </w:rPr>
        <w:t>ed</w:t>
      </w:r>
      <w:r>
        <w:rPr>
          <w:rFonts w:ascii="Calibri" w:hAnsi="Calibri"/>
        </w:rPr>
        <w:t xml:space="preserve"> for the committee's review.</w:t>
      </w:r>
    </w:p>
    <w:p w14:paraId="46CC330D" w14:textId="77777777" w:rsidR="00607356" w:rsidRDefault="00840D11">
      <w:pPr>
        <w:pStyle w:val="Heading2"/>
      </w:pPr>
      <w:r>
        <w:rPr>
          <w:rFonts w:hint="eastAsia"/>
        </w:rPr>
        <w:t>Purpose of the document</w:t>
      </w:r>
    </w:p>
    <w:p w14:paraId="46CC330E" w14:textId="77777777" w:rsidR="00607356" w:rsidRDefault="00840D11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>To update G1063 on Agreements for Complementary use of Lighthouses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46CC330F" w14:textId="77777777" w:rsidR="00607356" w:rsidRDefault="00840D11">
      <w:pPr>
        <w:pStyle w:val="Heading2"/>
      </w:pPr>
      <w:r>
        <w:t>Related documents</w:t>
      </w:r>
    </w:p>
    <w:p w14:paraId="46CC3310" w14:textId="77777777" w:rsidR="00607356" w:rsidRDefault="00840D11">
      <w:pPr>
        <w:pStyle w:val="Reference"/>
      </w:pPr>
      <w:bookmarkStart w:id="1" w:name="_Hlk189931281"/>
      <w:r>
        <w:t>IALA Complementary</w:t>
      </w:r>
      <w:r>
        <w:rPr>
          <w:rFonts w:eastAsia="SimSun" w:hint="eastAsia"/>
          <w:lang w:eastAsia="zh-CN"/>
        </w:rPr>
        <w:t xml:space="preserve"> </w:t>
      </w:r>
      <w:r>
        <w:t>Lighthouse Use</w:t>
      </w:r>
      <w:r>
        <w:rPr>
          <w:rFonts w:eastAsia="SimSun" w:hint="eastAsia"/>
          <w:lang w:eastAsia="zh-CN"/>
        </w:rPr>
        <w:t xml:space="preserve"> </w:t>
      </w:r>
      <w:r>
        <w:t>Manual</w:t>
      </w:r>
      <w:bookmarkEnd w:id="1"/>
      <w:r>
        <w:rPr>
          <w:rFonts w:eastAsia="SimSun" w:hint="eastAsia"/>
          <w:lang w:eastAsia="zh-CN"/>
        </w:rPr>
        <w:t xml:space="preserve"> </w:t>
      </w:r>
      <w:r>
        <w:rPr>
          <w:rFonts w:hint="eastAsia"/>
        </w:rPr>
        <w:t>(</w:t>
      </w:r>
      <w:r>
        <w:t>Edition 2</w:t>
      </w:r>
      <w:r>
        <w:rPr>
          <w:rFonts w:hint="eastAsia"/>
        </w:rPr>
        <w:t>)</w:t>
      </w:r>
    </w:p>
    <w:p w14:paraId="46CC3311" w14:textId="77777777" w:rsidR="00607356" w:rsidRDefault="00840D11">
      <w:pPr>
        <w:pStyle w:val="Reference"/>
        <w:rPr>
          <w:lang w:eastAsia="de-DE"/>
        </w:rPr>
      </w:pPr>
      <w:r>
        <w:rPr>
          <w:lang w:eastAsia="de-DE"/>
        </w:rPr>
        <w:t xml:space="preserve">G1063 </w:t>
      </w:r>
      <w:bookmarkStart w:id="2" w:name="_Hlk189931159"/>
      <w:r>
        <w:rPr>
          <w:lang w:eastAsia="de-DE"/>
        </w:rPr>
        <w:t>Agreements for</w:t>
      </w:r>
      <w:r>
        <w:rPr>
          <w:rFonts w:eastAsia="SimSun" w:hint="eastAsia"/>
          <w:lang w:eastAsia="zh-CN"/>
        </w:rPr>
        <w:t xml:space="preserve"> </w:t>
      </w:r>
      <w:r>
        <w:rPr>
          <w:lang w:eastAsia="de-DE"/>
        </w:rPr>
        <w:t>Complementary use of Lighthouses</w:t>
      </w:r>
      <w:bookmarkEnd w:id="2"/>
      <w:r>
        <w:rPr>
          <w:rFonts w:eastAsia="SimSun" w:hint="eastAsia"/>
          <w:lang w:eastAsia="zh-CN"/>
        </w:rPr>
        <w:t xml:space="preserve"> </w:t>
      </w:r>
      <w:r>
        <w:rPr>
          <w:rFonts w:hint="eastAsia"/>
          <w:lang w:eastAsia="de-DE"/>
        </w:rPr>
        <w:t>(</w:t>
      </w:r>
      <w:r>
        <w:rPr>
          <w:lang w:eastAsia="de-DE"/>
        </w:rPr>
        <w:t>Edition 1.2</w:t>
      </w:r>
      <w:r>
        <w:rPr>
          <w:rFonts w:hint="eastAsia"/>
          <w:lang w:eastAsia="de-DE"/>
        </w:rPr>
        <w:t>)</w:t>
      </w:r>
    </w:p>
    <w:p w14:paraId="46CC3312" w14:textId="77777777" w:rsidR="00607356" w:rsidRDefault="00840D11">
      <w:pPr>
        <w:pStyle w:val="Reference"/>
        <w:rPr>
          <w:lang w:eastAsia="de-DE"/>
        </w:rPr>
      </w:pPr>
      <w:r>
        <w:rPr>
          <w:rFonts w:eastAsia="SimSun" w:hint="eastAsia"/>
          <w:lang w:eastAsia="zh-CN"/>
        </w:rPr>
        <w:t xml:space="preserve">G1075 </w:t>
      </w:r>
      <w:r>
        <w:rPr>
          <w:rFonts w:eastAsia="SimSun"/>
          <w:lang w:eastAsia="zh-CN"/>
        </w:rPr>
        <w:t>A Business Plan for the complementary use of a Historic Lighthouse</w:t>
      </w:r>
      <w:r>
        <w:rPr>
          <w:rFonts w:eastAsia="SimSun" w:hint="eastAsia"/>
          <w:lang w:eastAsia="zh-CN"/>
        </w:rPr>
        <w:t xml:space="preserve"> </w:t>
      </w:r>
      <w:r>
        <w:rPr>
          <w:rFonts w:hint="eastAsia"/>
          <w:lang w:eastAsia="de-DE"/>
        </w:rPr>
        <w:t>(</w:t>
      </w:r>
      <w:r>
        <w:rPr>
          <w:lang w:eastAsia="de-DE"/>
        </w:rPr>
        <w:t>Edition 1.</w:t>
      </w:r>
      <w:r>
        <w:rPr>
          <w:rFonts w:eastAsia="SimSun" w:hint="eastAsia"/>
          <w:lang w:eastAsia="zh-CN"/>
        </w:rPr>
        <w:t>0</w:t>
      </w:r>
      <w:r>
        <w:rPr>
          <w:rFonts w:hint="eastAsia"/>
          <w:lang w:eastAsia="de-DE"/>
        </w:rPr>
        <w:t>)</w:t>
      </w:r>
    </w:p>
    <w:p w14:paraId="46CC3313" w14:textId="77777777" w:rsidR="00607356" w:rsidRDefault="00840D11">
      <w:pPr>
        <w:pStyle w:val="Reference"/>
        <w:rPr>
          <w:lang w:eastAsia="de-DE"/>
        </w:rPr>
      </w:pPr>
      <w:r>
        <w:rPr>
          <w:rFonts w:eastAsia="SimSun" w:hint="eastAsia"/>
          <w:lang w:eastAsia="zh-CN"/>
        </w:rPr>
        <w:t xml:space="preserve">G1093 </w:t>
      </w:r>
      <w:r>
        <w:rPr>
          <w:rFonts w:eastAsia="SimSun"/>
          <w:lang w:eastAsia="zh-CN"/>
        </w:rPr>
        <w:t xml:space="preserve">The Management of Surplus Lighthouse Property </w:t>
      </w:r>
      <w:r>
        <w:rPr>
          <w:rFonts w:hint="eastAsia"/>
          <w:lang w:eastAsia="de-DE"/>
        </w:rPr>
        <w:t>(</w:t>
      </w:r>
      <w:r>
        <w:rPr>
          <w:lang w:eastAsia="de-DE"/>
        </w:rPr>
        <w:t>Edition 1.</w:t>
      </w:r>
      <w:r>
        <w:rPr>
          <w:rFonts w:eastAsia="SimSun" w:hint="eastAsia"/>
          <w:lang w:eastAsia="zh-CN"/>
        </w:rPr>
        <w:t>0</w:t>
      </w:r>
      <w:r>
        <w:rPr>
          <w:rFonts w:hint="eastAsia"/>
          <w:lang w:eastAsia="de-DE"/>
        </w:rPr>
        <w:t>)</w:t>
      </w:r>
    </w:p>
    <w:p w14:paraId="46CC3314" w14:textId="77777777" w:rsidR="00607356" w:rsidRDefault="00840D11">
      <w:pPr>
        <w:pStyle w:val="Reference"/>
        <w:rPr>
          <w:lang w:eastAsia="de-DE"/>
        </w:rPr>
      </w:pPr>
      <w:r>
        <w:rPr>
          <w:rFonts w:eastAsia="SimSun" w:hint="eastAsia"/>
          <w:lang w:val="en-US" w:eastAsia="zh-CN"/>
        </w:rPr>
        <w:t>IALA-committee-work-programme-2023-2027</w:t>
      </w:r>
    </w:p>
    <w:p w14:paraId="46CC3315" w14:textId="77777777" w:rsidR="00607356" w:rsidRDefault="00840D11">
      <w:pPr>
        <w:pStyle w:val="Reference"/>
        <w:rPr>
          <w:lang w:eastAsia="de-DE"/>
        </w:rPr>
      </w:pPr>
      <w:r>
        <w:rPr>
          <w:rFonts w:hint="eastAsia"/>
          <w:lang w:eastAsia="de-DE"/>
        </w:rPr>
        <w:t>ENG19-13.1 Draft report of ENG19_v0.0</w:t>
      </w:r>
    </w:p>
    <w:p w14:paraId="46CC3316" w14:textId="77777777" w:rsidR="00607356" w:rsidRDefault="00840D11">
      <w:pPr>
        <w:pStyle w:val="Heading1"/>
      </w:pPr>
      <w:r>
        <w:t>Background</w:t>
      </w:r>
    </w:p>
    <w:p w14:paraId="46CC3317" w14:textId="77777777" w:rsidR="00607356" w:rsidRDefault="00840D11">
      <w:pPr>
        <w:pStyle w:val="BodyText"/>
        <w:rPr>
          <w:rFonts w:ascii="Calibri" w:hAnsi="Calibri"/>
        </w:rPr>
      </w:pPr>
      <w:proofErr w:type="gramStart"/>
      <w:r>
        <w:rPr>
          <w:rFonts w:ascii="Calibri" w:eastAsia="SimSun" w:hAnsi="Calibri"/>
          <w:color w:val="000000"/>
          <w:lang w:val="en-US" w:eastAsia="zh-CN" w:bidi="ar"/>
        </w:rPr>
        <w:t>In order to</w:t>
      </w:r>
      <w:proofErr w:type="gramEnd"/>
      <w:r>
        <w:rPr>
          <w:rFonts w:ascii="Calibri" w:eastAsia="SimSun" w:hAnsi="Calibri"/>
          <w:color w:val="000000"/>
          <w:lang w:val="en-US" w:eastAsia="zh-CN" w:bidi="ar"/>
        </w:rPr>
        <w:t xml:space="preserve"> better assist lighthouse </w:t>
      </w:r>
      <w:r>
        <w:rPr>
          <w:rFonts w:ascii="Calibri" w:eastAsia="SimSun" w:hAnsi="Calibri" w:hint="eastAsia"/>
          <w:color w:val="000000"/>
          <w:lang w:val="en-US" w:eastAsia="zh-CN" w:bidi="ar"/>
        </w:rPr>
        <w:t>authorities</w:t>
      </w:r>
      <w:r>
        <w:rPr>
          <w:rFonts w:ascii="Calibri" w:eastAsia="SimSun" w:hAnsi="Calibri"/>
          <w:color w:val="000000"/>
          <w:lang w:val="en-US" w:eastAsia="zh-CN" w:bidi="ar"/>
        </w:rPr>
        <w:t xml:space="preserve"> in utilizing the historical, cultural, and social significance of lighthouses to create operational, commercial, or reputational value, the revi</w:t>
      </w:r>
      <w:r>
        <w:rPr>
          <w:rFonts w:ascii="Calibri" w:eastAsia="SimSun" w:hAnsi="Calibri" w:hint="eastAsia"/>
          <w:color w:val="000000"/>
          <w:lang w:val="en-US" w:eastAsia="zh-CN" w:bidi="ar"/>
        </w:rPr>
        <w:t>sion of</w:t>
      </w:r>
      <w:r>
        <w:rPr>
          <w:rFonts w:ascii="Calibri" w:eastAsia="SimSun" w:hAnsi="Calibri"/>
          <w:color w:val="000000"/>
          <w:lang w:val="en-US" w:eastAsia="zh-CN" w:bidi="ar"/>
        </w:rPr>
        <w:t xml:space="preserve"> G1063 "</w:t>
      </w:r>
      <w:r>
        <w:rPr>
          <w:sz w:val="18"/>
          <w:lang w:eastAsia="de-DE"/>
        </w:rPr>
        <w:t xml:space="preserve"> </w:t>
      </w:r>
      <w:r>
        <w:rPr>
          <w:rFonts w:ascii="Calibri" w:eastAsia="SimSun" w:hAnsi="Calibri"/>
          <w:color w:val="000000"/>
          <w:lang w:eastAsia="zh-CN" w:bidi="ar"/>
        </w:rPr>
        <w:t>Agreements for</w:t>
      </w:r>
      <w:r>
        <w:rPr>
          <w:rFonts w:ascii="Calibri" w:eastAsia="SimSun" w:hAnsi="Calibri" w:hint="eastAsia"/>
          <w:color w:val="000000"/>
          <w:lang w:eastAsia="zh-CN" w:bidi="ar"/>
        </w:rPr>
        <w:t xml:space="preserve"> </w:t>
      </w:r>
      <w:r>
        <w:rPr>
          <w:rFonts w:ascii="Calibri" w:eastAsia="SimSun" w:hAnsi="Calibri"/>
          <w:color w:val="000000"/>
          <w:lang w:eastAsia="zh-CN" w:bidi="ar"/>
        </w:rPr>
        <w:t>Complementary use of Lighthouses</w:t>
      </w:r>
      <w:r>
        <w:rPr>
          <w:rFonts w:ascii="Calibri" w:eastAsia="SimSun" w:hAnsi="Calibri"/>
          <w:color w:val="000000"/>
          <w:lang w:val="en-US" w:eastAsia="zh-CN" w:bidi="ar"/>
        </w:rPr>
        <w:t xml:space="preserve"> " led by China MSA ha</w:t>
      </w:r>
      <w:r>
        <w:rPr>
          <w:rFonts w:ascii="Calibri" w:eastAsia="SimSun" w:hAnsi="Calibri" w:hint="eastAsia"/>
          <w:color w:val="000000"/>
          <w:lang w:val="en-US" w:eastAsia="zh-CN" w:bidi="ar"/>
        </w:rPr>
        <w:t>s</w:t>
      </w:r>
      <w:r>
        <w:rPr>
          <w:rFonts w:ascii="Calibri" w:eastAsia="SimSun" w:hAnsi="Calibri"/>
          <w:color w:val="000000"/>
          <w:lang w:val="en-US" w:eastAsia="zh-CN" w:bidi="ar"/>
        </w:rPr>
        <w:t xml:space="preserve"> under</w:t>
      </w:r>
      <w:r>
        <w:rPr>
          <w:rFonts w:ascii="Calibri" w:eastAsia="SimSun" w:hAnsi="Calibri" w:hint="eastAsia"/>
          <w:color w:val="000000"/>
          <w:lang w:val="en-US" w:eastAsia="zh-CN" w:bidi="ar"/>
        </w:rPr>
        <w:t>gone</w:t>
      </w:r>
      <w:r>
        <w:rPr>
          <w:rFonts w:ascii="Calibri" w:eastAsia="SimSun" w:hAnsi="Calibri"/>
          <w:color w:val="000000"/>
          <w:lang w:val="en-US" w:eastAsia="zh-CN" w:bidi="ar"/>
        </w:rPr>
        <w:t xml:space="preserve"> three consecutive rounds of discussions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at</w:t>
      </w:r>
      <w:r>
        <w:rPr>
          <w:rFonts w:ascii="Calibri" w:eastAsia="SimSun" w:hAnsi="Calibri"/>
          <w:color w:val="000000"/>
          <w:lang w:val="en-US" w:eastAsia="zh-CN" w:bidi="ar"/>
        </w:rPr>
        <w:t xml:space="preserve"> ENG17, ENG18, and ENG19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</w:t>
      </w:r>
      <w:r>
        <w:rPr>
          <w:rFonts w:ascii="Calibri" w:eastAsia="SimSun" w:hAnsi="Calibri"/>
          <w:color w:val="000000"/>
          <w:lang w:val="en-US" w:eastAsia="zh-CN" w:bidi="ar"/>
        </w:rPr>
        <w:t xml:space="preserve">meetings. 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These </w:t>
      </w:r>
      <w:r>
        <w:rPr>
          <w:rFonts w:ascii="Calibri" w:eastAsia="SimSun" w:hAnsi="Calibri"/>
          <w:color w:val="000000"/>
          <w:lang w:val="en-US" w:eastAsia="zh-CN" w:bidi="ar"/>
        </w:rPr>
        <w:t xml:space="preserve">discussions combined with relevant content from the </w:t>
      </w:r>
      <w:r>
        <w:rPr>
          <w:rFonts w:ascii="Calibri" w:eastAsia="SimSun" w:hAnsi="Calibri"/>
          <w:color w:val="000000"/>
          <w:lang w:eastAsia="zh-CN" w:bidi="ar"/>
        </w:rPr>
        <w:t>IALA Complementary</w:t>
      </w:r>
      <w:r>
        <w:rPr>
          <w:rFonts w:ascii="Calibri" w:eastAsia="SimSun" w:hAnsi="Calibri" w:hint="eastAsia"/>
          <w:color w:val="000000"/>
          <w:lang w:eastAsia="zh-CN" w:bidi="ar"/>
        </w:rPr>
        <w:t xml:space="preserve"> </w:t>
      </w:r>
      <w:r>
        <w:rPr>
          <w:rFonts w:ascii="Calibri" w:eastAsia="SimSun" w:hAnsi="Calibri"/>
          <w:color w:val="000000"/>
          <w:lang w:eastAsia="zh-CN" w:bidi="ar"/>
        </w:rPr>
        <w:t>Lighthouse Use</w:t>
      </w:r>
      <w:r>
        <w:rPr>
          <w:rFonts w:ascii="Calibri" w:eastAsia="SimSun" w:hAnsi="Calibri" w:hint="eastAsia"/>
          <w:color w:val="000000"/>
          <w:lang w:eastAsia="zh-CN" w:bidi="ar"/>
        </w:rPr>
        <w:t xml:space="preserve"> </w:t>
      </w:r>
      <w:proofErr w:type="gramStart"/>
      <w:r>
        <w:rPr>
          <w:rFonts w:ascii="Calibri" w:eastAsia="SimSun" w:hAnsi="Calibri"/>
          <w:color w:val="000000"/>
          <w:lang w:eastAsia="zh-CN" w:bidi="ar"/>
        </w:rPr>
        <w:t>Manual</w:t>
      </w:r>
      <w:r>
        <w:rPr>
          <w:rFonts w:ascii="Calibri" w:eastAsia="SimSun" w:hAnsi="Calibri"/>
          <w:color w:val="000000"/>
          <w:lang w:val="en-US" w:eastAsia="zh-CN" w:bidi="ar"/>
        </w:rPr>
        <w:t xml:space="preserve">  (</w:t>
      </w:r>
      <w:proofErr w:type="gramEnd"/>
      <w:r>
        <w:rPr>
          <w:rFonts w:ascii="Calibri" w:eastAsia="SimSun" w:hAnsi="Calibri" w:hint="eastAsia"/>
          <w:color w:val="000000"/>
          <w:lang w:val="en-US" w:eastAsia="zh-CN" w:bidi="ar"/>
        </w:rPr>
        <w:t>E</w:t>
      </w:r>
      <w:r>
        <w:rPr>
          <w:rFonts w:ascii="Calibri" w:eastAsia="SimSun" w:hAnsi="Calibri"/>
          <w:color w:val="000000"/>
          <w:lang w:val="en-US" w:eastAsia="zh-CN" w:bidi="ar"/>
        </w:rPr>
        <w:t>dition</w:t>
      </w:r>
      <w:r>
        <w:rPr>
          <w:rFonts w:ascii="Calibri" w:eastAsia="SimSun" w:hAnsi="Calibri" w:hint="eastAsia"/>
          <w:color w:val="000000"/>
          <w:lang w:val="en-US" w:eastAsia="zh-CN" w:bidi="ar"/>
        </w:rPr>
        <w:t>2,December 2017</w:t>
      </w:r>
      <w:r>
        <w:rPr>
          <w:rFonts w:ascii="Calibri" w:eastAsia="SimSun" w:hAnsi="Calibri"/>
          <w:color w:val="000000"/>
          <w:lang w:val="en-US" w:eastAsia="zh-CN" w:bidi="ar"/>
        </w:rPr>
        <w:t>)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helped </w:t>
      </w:r>
      <w:r>
        <w:rPr>
          <w:rFonts w:ascii="Calibri" w:eastAsia="SimSun" w:hAnsi="Calibri"/>
          <w:color w:val="000000"/>
          <w:lang w:val="en-US" w:eastAsia="zh-CN" w:bidi="ar"/>
        </w:rPr>
        <w:t>to form the third revised draft.</w:t>
      </w:r>
    </w:p>
    <w:p w14:paraId="46CC3318" w14:textId="77777777" w:rsidR="00607356" w:rsidRDefault="00840D11">
      <w:pPr>
        <w:pStyle w:val="Heading1"/>
      </w:pPr>
      <w:r>
        <w:lastRenderedPageBreak/>
        <w:t>Discussion</w:t>
      </w:r>
    </w:p>
    <w:p w14:paraId="46CC3319" w14:textId="77777777" w:rsidR="00607356" w:rsidRDefault="00840D11">
      <w:pPr>
        <w:pStyle w:val="Heading2"/>
      </w:pPr>
      <w:r>
        <w:t>Modify the title of the guide</w:t>
      </w:r>
      <w:r>
        <w:rPr>
          <w:rFonts w:eastAsia="SimSun" w:hint="eastAsia"/>
          <w:lang w:val="en-US" w:eastAsia="zh-CN"/>
        </w:rPr>
        <w:t>LINE</w:t>
      </w:r>
    </w:p>
    <w:p w14:paraId="46CC331A" w14:textId="77777777" w:rsidR="00607356" w:rsidRDefault="00840D11">
      <w:pPr>
        <w:pStyle w:val="BodyText"/>
        <w:suppressAutoHyphens/>
      </w:pPr>
      <w:bookmarkStart w:id="3" w:name="_Hlk59199741"/>
      <w:r>
        <w:t>Based on the content of the guide</w:t>
      </w:r>
      <w:r>
        <w:rPr>
          <w:rFonts w:eastAsia="SimSun" w:hint="eastAsia"/>
          <w:lang w:val="en-US" w:eastAsia="zh-CN"/>
        </w:rPr>
        <w:t>line</w:t>
      </w:r>
      <w:r>
        <w:t>, modify the guide</w:t>
      </w:r>
      <w:r>
        <w:rPr>
          <w:rFonts w:eastAsia="SimSun" w:hint="eastAsia"/>
          <w:lang w:val="en-US" w:eastAsia="zh-CN"/>
        </w:rPr>
        <w:t>line</w:t>
      </w:r>
      <w:r>
        <w:t xml:space="preserve"> title to " Partnership Agreements </w:t>
      </w:r>
      <w:r>
        <w:rPr>
          <w:rFonts w:eastAsia="SimSun" w:hint="eastAsia"/>
          <w:lang w:eastAsia="zh-CN"/>
        </w:rPr>
        <w:t>f</w:t>
      </w:r>
      <w:r>
        <w:t xml:space="preserve">or Complementary </w:t>
      </w:r>
      <w:r>
        <w:rPr>
          <w:rFonts w:eastAsia="SimSun" w:hint="eastAsia"/>
          <w:lang w:eastAsia="zh-CN"/>
        </w:rPr>
        <w:t>u</w:t>
      </w:r>
      <w:r>
        <w:t xml:space="preserve">se </w:t>
      </w:r>
      <w:r>
        <w:rPr>
          <w:lang w:eastAsia="de-DE"/>
        </w:rPr>
        <w:t>of Lighthouses</w:t>
      </w:r>
      <w:r>
        <w:t xml:space="preserve"> Property ".</w:t>
      </w:r>
    </w:p>
    <w:p w14:paraId="46CC331B" w14:textId="77777777" w:rsidR="00607356" w:rsidRDefault="00840D11">
      <w:pPr>
        <w:pStyle w:val="Heading2"/>
      </w:pPr>
      <w:r>
        <w:rPr>
          <w:rFonts w:eastAsia="SimSun"/>
          <w:lang w:val="en-US" w:eastAsia="zh-CN"/>
        </w:rPr>
        <w:t>Adjusting the structure and content of certain chapters</w:t>
      </w:r>
    </w:p>
    <w:p w14:paraId="46CC331C" w14:textId="77777777" w:rsidR="00607356" w:rsidRDefault="00840D11">
      <w:pPr>
        <w:pStyle w:val="Heading3"/>
      </w:pPr>
      <w:r>
        <w:t>Merge original chapters 1 and 2 and revise content simultaneously</w:t>
      </w:r>
    </w:p>
    <w:p w14:paraId="46CC331D" w14:textId="77777777" w:rsidR="00607356" w:rsidRDefault="00840D11">
      <w:pPr>
        <w:pStyle w:val="BodyText"/>
        <w:suppressAutoHyphens/>
        <w:rPr>
          <w:rFonts w:eastAsia="SimSun"/>
          <w:lang w:eastAsia="zh-CN"/>
        </w:rPr>
      </w:pPr>
      <w:r>
        <w:rPr>
          <w:rFonts w:hint="eastAsia"/>
        </w:rPr>
        <w:t xml:space="preserve">After comprehensive discussions at multiple meetings and modifications during the sessions, </w:t>
      </w:r>
      <w:r>
        <w:rPr>
          <w:rFonts w:eastAsia="SimSun" w:hint="eastAsia"/>
          <w:lang w:val="en-US" w:eastAsia="zh-CN"/>
        </w:rPr>
        <w:t>WG3</w:t>
      </w:r>
      <w:r>
        <w:rPr>
          <w:rFonts w:hint="eastAsia"/>
        </w:rPr>
        <w:t xml:space="preserve"> believes that the </w:t>
      </w:r>
      <w:r>
        <w:t>initial section</w:t>
      </w:r>
      <w:r>
        <w:rPr>
          <w:rFonts w:hint="eastAsia"/>
        </w:rPr>
        <w:t xml:space="preserve"> of G1063 should clearly and explicitly state the significance of formulating this </w:t>
      </w:r>
      <w:proofErr w:type="gramStart"/>
      <w:r>
        <w:rPr>
          <w:rFonts w:hint="eastAsia"/>
        </w:rPr>
        <w:t>guideline, and</w:t>
      </w:r>
      <w:proofErr w:type="gramEnd"/>
      <w:r>
        <w:rPr>
          <w:rFonts w:hint="eastAsia"/>
        </w:rPr>
        <w:t xml:space="preserve"> clarify its positive reference value for the lighthouse authorities in developing </w:t>
      </w:r>
      <w:r>
        <w:rPr>
          <w:rFonts w:eastAsia="SimSun" w:hint="eastAsia"/>
          <w:lang w:eastAsia="zh-CN"/>
        </w:rPr>
        <w:t>complementary</w:t>
      </w:r>
      <w:r>
        <w:rPr>
          <w:rFonts w:hint="eastAsia"/>
        </w:rPr>
        <w:t xml:space="preserve"> use agreements.</w:t>
      </w:r>
    </w:p>
    <w:p w14:paraId="46CC331E" w14:textId="77777777" w:rsidR="00607356" w:rsidRDefault="00840D11">
      <w:pPr>
        <w:pStyle w:val="BodyText"/>
        <w:suppressAutoHyphens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Complementary Lighthouse Use Manual plays an overall planning and guiding role in the process of considering, designing, planning, and managing the </w:t>
      </w:r>
      <w:r>
        <w:rPr>
          <w:rFonts w:eastAsia="SimSun" w:hint="eastAsia"/>
          <w:lang w:val="en-US" w:eastAsia="zh-CN"/>
        </w:rPr>
        <w:t>com</w:t>
      </w:r>
      <w:proofErr w:type="spellStart"/>
      <w:r>
        <w:rPr>
          <w:rFonts w:eastAsia="SimSun"/>
          <w:lang w:eastAsia="zh-CN"/>
        </w:rPr>
        <w:t>plementary</w:t>
      </w:r>
      <w:proofErr w:type="spellEnd"/>
      <w:r>
        <w:rPr>
          <w:rFonts w:eastAsia="SimSun"/>
          <w:lang w:eastAsia="zh-CN"/>
        </w:rPr>
        <w:t xml:space="preserve"> use of historical lighthouses by the lighthouse management department</w:t>
      </w:r>
      <w:r>
        <w:rPr>
          <w:rFonts w:eastAsia="SimSun" w:hint="eastAsia"/>
          <w:lang w:val="en-US" w:eastAsia="zh-CN"/>
        </w:rPr>
        <w:t>s</w:t>
      </w:r>
      <w:r>
        <w:rPr>
          <w:rFonts w:eastAsia="SimSun"/>
          <w:lang w:eastAsia="zh-CN"/>
        </w:rPr>
        <w:t xml:space="preserve">. It mainly includes the development of </w:t>
      </w:r>
      <w:r>
        <w:rPr>
          <w:rFonts w:eastAsia="SimSun" w:hint="eastAsia"/>
          <w:lang w:val="en-US" w:eastAsia="zh-CN"/>
        </w:rPr>
        <w:t>conservation</w:t>
      </w:r>
      <w:r>
        <w:rPr>
          <w:rFonts w:eastAsia="SimSun"/>
          <w:lang w:eastAsia="zh-CN"/>
        </w:rPr>
        <w:t xml:space="preserve"> plan, legal issues related to </w:t>
      </w:r>
      <w:r>
        <w:rPr>
          <w:rFonts w:eastAsia="SimSun" w:hint="eastAsia"/>
          <w:lang w:val="en-US" w:eastAsia="zh-CN"/>
        </w:rPr>
        <w:t>com</w:t>
      </w:r>
      <w:proofErr w:type="spellStart"/>
      <w:r>
        <w:rPr>
          <w:rFonts w:eastAsia="SimSun"/>
          <w:lang w:eastAsia="zh-CN"/>
        </w:rPr>
        <w:t>plementary</w:t>
      </w:r>
      <w:proofErr w:type="spellEnd"/>
      <w:r>
        <w:rPr>
          <w:rFonts w:eastAsia="SimSun"/>
          <w:lang w:eastAsia="zh-CN"/>
        </w:rPr>
        <w:t xml:space="preserve"> use, </w:t>
      </w:r>
      <w:r>
        <w:rPr>
          <w:rFonts w:eastAsia="SimSun" w:hint="eastAsia"/>
          <w:lang w:val="en-US" w:eastAsia="zh-CN"/>
        </w:rPr>
        <w:t>business</w:t>
      </w:r>
      <w:r>
        <w:rPr>
          <w:rFonts w:eastAsia="SimSun"/>
          <w:lang w:eastAsia="zh-CN"/>
        </w:rPr>
        <w:t xml:space="preserve"> planning, visitor safety, interpretation planning, funding </w:t>
      </w:r>
      <w:r>
        <w:rPr>
          <w:rFonts w:eastAsia="SimSun" w:hint="eastAsia"/>
          <w:lang w:val="en-US" w:eastAsia="zh-CN"/>
        </w:rPr>
        <w:t>option</w:t>
      </w:r>
      <w:r>
        <w:rPr>
          <w:rFonts w:eastAsia="SimSun"/>
          <w:lang w:eastAsia="zh-CN"/>
        </w:rPr>
        <w:t xml:space="preserve">s for </w:t>
      </w:r>
      <w:r>
        <w:rPr>
          <w:rFonts w:eastAsia="SimSun" w:hint="eastAsia"/>
          <w:lang w:val="en-US" w:eastAsia="zh-CN"/>
        </w:rPr>
        <w:t>com</w:t>
      </w:r>
      <w:proofErr w:type="spellStart"/>
      <w:r>
        <w:rPr>
          <w:rFonts w:eastAsia="SimSun"/>
          <w:lang w:eastAsia="zh-CN"/>
        </w:rPr>
        <w:t>plementary</w:t>
      </w:r>
      <w:proofErr w:type="spellEnd"/>
      <w:r>
        <w:rPr>
          <w:rFonts w:eastAsia="SimSun"/>
          <w:lang w:eastAsia="zh-CN"/>
        </w:rPr>
        <w:t xml:space="preserve"> use, </w:t>
      </w:r>
      <w:proofErr w:type="spellStart"/>
      <w:r>
        <w:rPr>
          <w:rFonts w:eastAsia="SimSun"/>
          <w:lang w:eastAsia="zh-CN"/>
        </w:rPr>
        <w:t>manag</w:t>
      </w:r>
      <w:r>
        <w:rPr>
          <w:rFonts w:eastAsia="SimSun" w:hint="eastAsia"/>
          <w:lang w:val="en-US" w:eastAsia="zh-CN"/>
        </w:rPr>
        <w:t>ing</w:t>
      </w:r>
      <w:proofErr w:type="spellEnd"/>
      <w:r>
        <w:rPr>
          <w:rFonts w:eastAsia="SimSun"/>
          <w:lang w:eastAsia="zh-CN"/>
        </w:rPr>
        <w:t xml:space="preserve"> </w:t>
      </w:r>
      <w:proofErr w:type="spellStart"/>
      <w:r>
        <w:rPr>
          <w:rFonts w:eastAsia="SimSun"/>
          <w:lang w:eastAsia="zh-CN"/>
        </w:rPr>
        <w:t>techn</w:t>
      </w:r>
      <w:r>
        <w:rPr>
          <w:rFonts w:eastAsia="SimSun" w:hint="eastAsia"/>
          <w:lang w:val="en-US" w:eastAsia="zh-CN"/>
        </w:rPr>
        <w:t>ical</w:t>
      </w:r>
      <w:proofErr w:type="spellEnd"/>
      <w:r>
        <w:rPr>
          <w:rFonts w:eastAsia="SimSun"/>
          <w:lang w:eastAsia="zh-CN"/>
        </w:rPr>
        <w:t xml:space="preserve"> </w:t>
      </w:r>
      <w:r>
        <w:rPr>
          <w:rFonts w:eastAsia="SimSun" w:hint="eastAsia"/>
          <w:lang w:val="en-US" w:eastAsia="zh-CN"/>
        </w:rPr>
        <w:t>change</w:t>
      </w:r>
      <w:r>
        <w:rPr>
          <w:rFonts w:eastAsia="SimSun"/>
          <w:lang w:eastAsia="zh-CN"/>
        </w:rPr>
        <w:t>, record keeping, evaluation methods, and other contents. The G1063 "</w:t>
      </w:r>
      <w:r>
        <w:rPr>
          <w:lang w:eastAsia="de-DE"/>
        </w:rPr>
        <w:t xml:space="preserve"> Agreements for</w:t>
      </w:r>
      <w:r>
        <w:rPr>
          <w:rFonts w:eastAsia="SimSun" w:hint="eastAsia"/>
          <w:lang w:eastAsia="zh-CN"/>
        </w:rPr>
        <w:t xml:space="preserve"> </w:t>
      </w:r>
      <w:r>
        <w:rPr>
          <w:lang w:eastAsia="de-DE"/>
        </w:rPr>
        <w:t>Complementary use of Lighthouses</w:t>
      </w:r>
      <w:r>
        <w:rPr>
          <w:rFonts w:eastAsia="SimSun"/>
          <w:lang w:eastAsia="zh-CN"/>
        </w:rPr>
        <w:t xml:space="preserve"> " provides specific guidance on various issues and corresponding solutions that may </w:t>
      </w:r>
      <w:r>
        <w:rPr>
          <w:rFonts w:eastAsia="SimSun"/>
          <w:lang w:eastAsia="zh-CN"/>
        </w:rPr>
        <w:t xml:space="preserve">be encountered during the </w:t>
      </w:r>
      <w:r>
        <w:rPr>
          <w:rFonts w:eastAsia="SimSun" w:hint="eastAsia"/>
          <w:lang w:val="en-US" w:eastAsia="zh-CN"/>
        </w:rPr>
        <w:t>com</w:t>
      </w:r>
      <w:proofErr w:type="spellStart"/>
      <w:r>
        <w:rPr>
          <w:rFonts w:eastAsia="SimSun"/>
          <w:lang w:eastAsia="zh-CN"/>
        </w:rPr>
        <w:t>plementary</w:t>
      </w:r>
      <w:proofErr w:type="spellEnd"/>
      <w:r>
        <w:rPr>
          <w:rFonts w:eastAsia="SimSun"/>
          <w:lang w:eastAsia="zh-CN"/>
        </w:rPr>
        <w:t xml:space="preserve"> use of lighthouse</w:t>
      </w:r>
      <w:r>
        <w:rPr>
          <w:rFonts w:eastAsia="SimSun" w:hint="eastAsia"/>
          <w:lang w:eastAsia="zh-CN"/>
        </w:rPr>
        <w:t xml:space="preserve">. It </w:t>
      </w:r>
      <w:r>
        <w:rPr>
          <w:rFonts w:eastAsia="SimSun"/>
          <w:lang w:eastAsia="zh-CN"/>
        </w:rPr>
        <w:t xml:space="preserve"> </w:t>
      </w:r>
      <w:r>
        <w:rPr>
          <w:rFonts w:eastAsia="SimSun" w:hint="eastAsia"/>
          <w:lang w:val="en-US" w:eastAsia="zh-CN"/>
        </w:rPr>
        <w:t>com</w:t>
      </w:r>
      <w:proofErr w:type="spellStart"/>
      <w:r>
        <w:rPr>
          <w:rFonts w:eastAsia="SimSun"/>
          <w:lang w:eastAsia="zh-CN"/>
        </w:rPr>
        <w:t>plement</w:t>
      </w:r>
      <w:r>
        <w:rPr>
          <w:rFonts w:eastAsia="SimSun" w:hint="eastAsia"/>
          <w:lang w:eastAsia="zh-CN"/>
        </w:rPr>
        <w:t>s</w:t>
      </w:r>
      <w:proofErr w:type="spellEnd"/>
      <w:r>
        <w:rPr>
          <w:rFonts w:eastAsia="SimSun"/>
          <w:lang w:eastAsia="zh-CN"/>
        </w:rPr>
        <w:t xml:space="preserve"> and enhances the manual </w:t>
      </w:r>
      <w:r>
        <w:rPr>
          <w:rFonts w:eastAsia="SimSun" w:hint="eastAsia"/>
          <w:lang w:eastAsia="zh-CN"/>
        </w:rPr>
        <w:t>by providing</w:t>
      </w:r>
      <w:r>
        <w:rPr>
          <w:rFonts w:eastAsia="SimSun"/>
          <w:lang w:eastAsia="zh-CN"/>
        </w:rPr>
        <w:t xml:space="preserve"> detailed implementation instructions and processes such as agreement </w:t>
      </w:r>
      <w:r>
        <w:rPr>
          <w:rFonts w:eastAsia="SimSun" w:hint="eastAsia"/>
          <w:lang w:eastAsia="zh-CN"/>
        </w:rPr>
        <w:t xml:space="preserve">on </w:t>
      </w:r>
      <w:r>
        <w:rPr>
          <w:rFonts w:eastAsia="SimSun"/>
          <w:lang w:eastAsia="zh-CN"/>
        </w:rPr>
        <w:t>cooperation content, division of rights and obligations, and drafting of agreement terms. The manual plays an important role in the overall planning and guid</w:t>
      </w:r>
      <w:proofErr w:type="spellStart"/>
      <w:r>
        <w:rPr>
          <w:rFonts w:eastAsia="SimSun" w:hint="eastAsia"/>
          <w:lang w:val="en-US" w:eastAsia="zh-CN"/>
        </w:rPr>
        <w:t>ing</w:t>
      </w:r>
      <w:proofErr w:type="spellEnd"/>
      <w:r>
        <w:rPr>
          <w:rFonts w:eastAsia="SimSun"/>
          <w:lang w:eastAsia="zh-CN"/>
        </w:rPr>
        <w:t xml:space="preserve"> of lighthouse</w:t>
      </w:r>
      <w:r>
        <w:rPr>
          <w:rFonts w:eastAsia="SimSun" w:hint="eastAsia"/>
          <w:lang w:val="en-US" w:eastAsia="zh-CN"/>
        </w:rPr>
        <w:t xml:space="preserve"> authorities</w:t>
      </w:r>
      <w:r>
        <w:rPr>
          <w:rFonts w:eastAsia="SimSun"/>
          <w:lang w:eastAsia="zh-CN"/>
        </w:rPr>
        <w:t>, while this guide</w:t>
      </w:r>
      <w:r>
        <w:rPr>
          <w:rFonts w:eastAsia="SimSun" w:hint="eastAsia"/>
          <w:lang w:eastAsia="zh-CN"/>
        </w:rPr>
        <w:t>line is</w:t>
      </w:r>
      <w:r>
        <w:rPr>
          <w:rFonts w:eastAsia="SimSun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more </w:t>
      </w:r>
      <w:r>
        <w:rPr>
          <w:rFonts w:eastAsia="SimSun"/>
          <w:lang w:eastAsia="zh-CN"/>
        </w:rPr>
        <w:t>focuse</w:t>
      </w:r>
      <w:r>
        <w:rPr>
          <w:rFonts w:eastAsia="SimSun" w:hint="eastAsia"/>
          <w:lang w:eastAsia="zh-CN"/>
        </w:rPr>
        <w:t>d</w:t>
      </w:r>
      <w:r>
        <w:rPr>
          <w:rFonts w:eastAsia="SimSun"/>
          <w:lang w:eastAsia="zh-CN"/>
        </w:rPr>
        <w:t xml:space="preserve"> on guiding implementation details.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/>
          <w:lang w:eastAsia="zh-CN"/>
        </w:rPr>
        <w:t>Therefore, G1063 "</w:t>
      </w:r>
      <w:r>
        <w:rPr>
          <w:lang w:eastAsia="de-DE"/>
        </w:rPr>
        <w:t xml:space="preserve"> Agreements for</w:t>
      </w:r>
      <w:r>
        <w:rPr>
          <w:rFonts w:eastAsia="SimSun" w:hint="eastAsia"/>
          <w:lang w:eastAsia="zh-CN"/>
        </w:rPr>
        <w:t xml:space="preserve"> </w:t>
      </w:r>
      <w:r>
        <w:rPr>
          <w:lang w:eastAsia="de-DE"/>
        </w:rPr>
        <w:t>Complementary use of Lighthouses</w:t>
      </w:r>
      <w:r>
        <w:rPr>
          <w:rFonts w:eastAsia="SimSun"/>
          <w:lang w:eastAsia="zh-CN"/>
        </w:rPr>
        <w:t xml:space="preserve"> "</w:t>
      </w:r>
      <w:r>
        <w:rPr>
          <w:rFonts w:eastAsia="SimSun"/>
          <w:lang w:eastAsia="zh-CN"/>
        </w:rPr>
        <w:t xml:space="preserve"> can serve as a detailed guide and implementation explanation for the "</w:t>
      </w:r>
      <w:r>
        <w:t xml:space="preserve"> IALA Complementary</w:t>
      </w:r>
      <w:r>
        <w:rPr>
          <w:rFonts w:eastAsia="SimSun" w:hint="eastAsia"/>
          <w:lang w:eastAsia="zh-CN"/>
        </w:rPr>
        <w:t xml:space="preserve"> </w:t>
      </w:r>
      <w:r>
        <w:t>Lighthouse Use</w:t>
      </w:r>
      <w:r>
        <w:rPr>
          <w:rFonts w:eastAsia="SimSun" w:hint="eastAsia"/>
          <w:lang w:eastAsia="zh-CN"/>
        </w:rPr>
        <w:t xml:space="preserve"> </w:t>
      </w:r>
      <w:r>
        <w:t>Manual</w:t>
      </w:r>
      <w:r>
        <w:rPr>
          <w:rFonts w:eastAsia="SimSun"/>
          <w:lang w:eastAsia="zh-CN"/>
        </w:rPr>
        <w:t xml:space="preserve"> " in practical application</w:t>
      </w:r>
      <w:r>
        <w:rPr>
          <w:rFonts w:eastAsia="SimSun" w:hint="eastAsia"/>
          <w:lang w:eastAsia="zh-CN"/>
        </w:rPr>
        <w:t>,</w:t>
      </w:r>
      <w:r>
        <w:t xml:space="preserve"> </w:t>
      </w:r>
      <w:r>
        <w:rPr>
          <w:rFonts w:eastAsia="SimSun"/>
          <w:lang w:eastAsia="zh-CN"/>
        </w:rPr>
        <w:t>particularly in terms of specific operational procedures and details.</w:t>
      </w:r>
    </w:p>
    <w:p w14:paraId="46CC331F" w14:textId="77777777" w:rsidR="00607356" w:rsidRDefault="00840D11">
      <w:pPr>
        <w:pStyle w:val="BodyText"/>
        <w:suppressAutoHyphens/>
        <w:rPr>
          <w:rFonts w:eastAsia="SimSun"/>
          <w:lang w:val="en-US" w:eastAsia="zh-CN"/>
        </w:rPr>
      </w:pPr>
      <w:r>
        <w:rPr>
          <w:rFonts w:eastAsia="SimSun"/>
          <w:lang w:eastAsia="zh-CN"/>
        </w:rPr>
        <w:t xml:space="preserve">In accordance with the relevant content of the heritage lighthouse document G1093, this chapter also explains that "for </w:t>
      </w:r>
      <w:r>
        <w:rPr>
          <w:rFonts w:eastAsia="SimSun" w:hint="eastAsia"/>
          <w:lang w:val="en-US" w:eastAsia="zh-CN"/>
        </w:rPr>
        <w:t xml:space="preserve">disposal of </w:t>
      </w:r>
      <w:r>
        <w:rPr>
          <w:rFonts w:eastAsia="SimSun"/>
          <w:lang w:val="en-US" w:eastAsia="zh-CN"/>
        </w:rPr>
        <w:t>surplus</w:t>
      </w:r>
      <w:r>
        <w:rPr>
          <w:rFonts w:eastAsia="SimSun" w:hint="eastAsia"/>
          <w:lang w:val="en-US" w:eastAsia="zh-CN"/>
        </w:rPr>
        <w:t xml:space="preserve"> lighthouse properties</w:t>
      </w:r>
      <w:r>
        <w:rPr>
          <w:rFonts w:eastAsia="SimSun"/>
          <w:lang w:eastAsia="zh-CN"/>
        </w:rPr>
        <w:t>, if they are planned for commercial purposes, this guide</w:t>
      </w:r>
      <w:r>
        <w:rPr>
          <w:rFonts w:eastAsia="SimSun" w:hint="eastAsia"/>
          <w:lang w:eastAsia="zh-CN"/>
        </w:rPr>
        <w:t>line</w:t>
      </w:r>
      <w:r>
        <w:rPr>
          <w:rFonts w:eastAsia="SimSun"/>
          <w:lang w:eastAsia="zh-CN"/>
        </w:rPr>
        <w:t xml:space="preserve"> may also be referenced and applied based on specific circumstances.</w:t>
      </w:r>
      <w:r>
        <w:rPr>
          <w:rFonts w:eastAsia="SimSun"/>
          <w:lang w:val="en-US" w:eastAsia="zh-CN"/>
        </w:rPr>
        <w:t>”</w:t>
      </w:r>
    </w:p>
    <w:p w14:paraId="46CC3320" w14:textId="77777777" w:rsidR="00607356" w:rsidRDefault="00840D11">
      <w:pPr>
        <w:pStyle w:val="Heading3"/>
      </w:pPr>
      <w:r>
        <w:t>Adjusting the Structure</w:t>
      </w:r>
    </w:p>
    <w:p w14:paraId="46CC3321" w14:textId="77777777" w:rsidR="00607356" w:rsidRDefault="00840D11">
      <w:pPr>
        <w:pStyle w:val="BodyText"/>
        <w:suppressAutoHyphens/>
      </w:pPr>
      <w:bookmarkStart w:id="4" w:name="_Hlk59200362"/>
      <w:r>
        <w:t xml:space="preserve">According to the revised content, the previous eight chapters will be restructured to seven chapters to enhance the clarity of </w:t>
      </w:r>
      <w:r>
        <w:rPr>
          <w:rFonts w:eastAsia="SimSun" w:hint="eastAsia"/>
          <w:lang w:eastAsia="zh-CN"/>
        </w:rPr>
        <w:t>its</w:t>
      </w:r>
      <w:r>
        <w:t xml:space="preserve"> structure and ensure a more rigorous logical flow.</w:t>
      </w:r>
    </w:p>
    <w:p w14:paraId="46CC3322" w14:textId="77777777" w:rsidR="00607356" w:rsidRDefault="00840D11">
      <w:pPr>
        <w:pStyle w:val="Heading2"/>
      </w:pPr>
      <w:r>
        <w:t>Revi</w:t>
      </w:r>
      <w:r>
        <w:rPr>
          <w:rFonts w:eastAsia="SimSun" w:hint="eastAsia"/>
          <w:lang w:val="en-US" w:eastAsia="zh-CN"/>
        </w:rPr>
        <w:t>SE</w:t>
      </w:r>
      <w:r>
        <w:t xml:space="preserve"> Abbreviations Chapter</w:t>
      </w:r>
    </w:p>
    <w:p w14:paraId="46CC3323" w14:textId="77777777" w:rsidR="00607356" w:rsidRDefault="00840D11">
      <w:pPr>
        <w:pStyle w:val="BodyText"/>
        <w:suppressAutoHyphens/>
      </w:pPr>
      <w:r>
        <w:t xml:space="preserve">There are a total of </w:t>
      </w:r>
      <w:r>
        <w:rPr>
          <w:rFonts w:eastAsia="SimSun" w:hint="eastAsia"/>
          <w:lang w:eastAsia="zh-CN"/>
        </w:rPr>
        <w:t>20</w:t>
      </w:r>
      <w:r>
        <w:t xml:space="preserve"> abbreviations in G1063, one of which </w:t>
      </w:r>
      <w:proofErr w:type="spellStart"/>
      <w:r>
        <w:rPr>
          <w:rFonts w:eastAsia="SimSun" w:hint="eastAsia"/>
          <w:lang w:val="en-US" w:eastAsia="zh-CN"/>
        </w:rPr>
        <w:t>originat</w:t>
      </w:r>
      <w:proofErr w:type="spellEnd"/>
      <w:r>
        <w:t>ed from the main chapter of the guide</w:t>
      </w:r>
      <w:r>
        <w:rPr>
          <w:rFonts w:eastAsia="SimSun" w:hint="eastAsia"/>
          <w:lang w:eastAsia="zh-CN"/>
        </w:rPr>
        <w:t>line</w:t>
      </w:r>
      <w:r>
        <w:t>, and the other 1</w:t>
      </w:r>
      <w:r>
        <w:rPr>
          <w:rFonts w:eastAsia="SimSun" w:hint="eastAsia"/>
          <w:lang w:eastAsia="zh-CN"/>
        </w:rPr>
        <w:t>9</w:t>
      </w:r>
      <w:r>
        <w:t xml:space="preserve"> </w:t>
      </w:r>
      <w:r>
        <w:rPr>
          <w:rFonts w:eastAsia="SimSun" w:hint="eastAsia"/>
          <w:lang w:eastAsia="zh-CN"/>
        </w:rPr>
        <w:t>are</w:t>
      </w:r>
      <w:r>
        <w:t xml:space="preserve"> from the case section. This review includes checking the accuracy and meaning of abbreviations.</w:t>
      </w:r>
    </w:p>
    <w:bookmarkEnd w:id="3"/>
    <w:bookmarkEnd w:id="4"/>
    <w:p w14:paraId="46CC3324" w14:textId="77777777" w:rsidR="00607356" w:rsidRDefault="00840D11">
      <w:pPr>
        <w:pStyle w:val="Heading1"/>
        <w:numPr>
          <w:ilvl w:val="0"/>
          <w:numId w:val="0"/>
        </w:numPr>
        <w:rPr>
          <w:rFonts w:eastAsia="SimSun"/>
          <w:bCs w:val="0"/>
          <w:sz w:val="24"/>
        </w:rPr>
      </w:pPr>
      <w:r>
        <w:rPr>
          <w:rFonts w:eastAsia="SimSun" w:hint="eastAsia"/>
          <w:bCs w:val="0"/>
          <w:sz w:val="24"/>
          <w:lang w:val="en-US" w:eastAsia="zh-CN"/>
        </w:rPr>
        <w:t>3.4</w:t>
      </w:r>
      <w:r>
        <w:rPr>
          <w:rFonts w:eastAsia="SimSun" w:hint="eastAsia"/>
          <w:bCs w:val="0"/>
          <w:sz w:val="24"/>
          <w:lang w:val="en-US" w:eastAsia="zh-CN"/>
        </w:rPr>
        <w:t>.</w:t>
      </w:r>
      <w:r>
        <w:rPr>
          <w:rFonts w:eastAsia="SimSun" w:hint="eastAsia"/>
          <w:bCs w:val="0"/>
          <w:sz w:val="24"/>
          <w:lang w:val="en-US" w:eastAsia="zh-CN"/>
        </w:rPr>
        <w:t xml:space="preserve">         PROPOSAL</w:t>
      </w:r>
    </w:p>
    <w:p w14:paraId="46CC3325" w14:textId="77777777" w:rsidR="00607356" w:rsidRDefault="00840D11">
      <w:pPr>
        <w:pStyle w:val="BodyText"/>
        <w:rPr>
          <w:rFonts w:ascii="Calibri" w:hAnsi="Calibri"/>
        </w:rPr>
      </w:pPr>
      <w:bookmarkStart w:id="5" w:name="OLE_LINK1"/>
      <w:r>
        <w:rPr>
          <w:rFonts w:ascii="Calibri" w:hAnsi="Calibri" w:hint="eastAsia"/>
        </w:rPr>
        <w:t xml:space="preserve">It is proposed that the ENG Committee use </w:t>
      </w:r>
      <w:r>
        <w:rPr>
          <w:rFonts w:ascii="Calibri" w:eastAsia="SimSun" w:hAnsi="Calibri" w:hint="eastAsia"/>
          <w:lang w:val="en-US" w:eastAsia="zh-CN"/>
        </w:rPr>
        <w:t xml:space="preserve">the </w:t>
      </w:r>
      <w:r>
        <w:rPr>
          <w:rFonts w:ascii="Calibri" w:hAnsi="Calibri" w:hint="eastAsia"/>
        </w:rPr>
        <w:t xml:space="preserve">draft </w:t>
      </w:r>
      <w:r>
        <w:rPr>
          <w:rFonts w:ascii="Calibri" w:eastAsia="SimSun" w:hAnsi="Calibri" w:hint="eastAsia"/>
          <w:lang w:val="en-US" w:eastAsia="zh-CN"/>
        </w:rPr>
        <w:t xml:space="preserve">guideline </w:t>
      </w:r>
      <w:r>
        <w:rPr>
          <w:rFonts w:ascii="Calibri" w:hAnsi="Calibri" w:hint="eastAsia"/>
        </w:rPr>
        <w:t>in the annex as the basic document for updating G1063</w:t>
      </w:r>
      <w:r>
        <w:rPr>
          <w:rFonts w:ascii="Calibri" w:hAnsi="Calibri"/>
        </w:rPr>
        <w:t>.</w:t>
      </w:r>
    </w:p>
    <w:bookmarkEnd w:id="5"/>
    <w:p w14:paraId="46CC3326" w14:textId="77777777" w:rsidR="00607356" w:rsidRDefault="00840D11">
      <w:pPr>
        <w:pStyle w:val="Heading1"/>
      </w:pPr>
      <w:r>
        <w:t>Reference</w:t>
      </w:r>
      <w:r>
        <w:rPr>
          <w:rFonts w:eastAsia="SimSun" w:hint="eastAsia"/>
          <w:lang w:val="en-US" w:eastAsia="zh-CN"/>
        </w:rPr>
        <w:t>s</w:t>
      </w:r>
    </w:p>
    <w:p w14:paraId="46CC3327" w14:textId="77777777" w:rsidR="00607356" w:rsidRDefault="00840D11">
      <w:pPr>
        <w:pStyle w:val="Reference"/>
        <w:numPr>
          <w:ilvl w:val="0"/>
          <w:numId w:val="25"/>
        </w:numPr>
      </w:pPr>
      <w:r>
        <w:rPr>
          <w:rFonts w:eastAsia="SimSun" w:hint="eastAsia"/>
          <w:lang w:val="en-US" w:eastAsia="zh-CN"/>
        </w:rPr>
        <w:t>IALA Complementary Lighthouse Use Manual, 2017</w:t>
      </w:r>
    </w:p>
    <w:p w14:paraId="46CC3328" w14:textId="77777777" w:rsidR="00607356" w:rsidRDefault="00840D11">
      <w:pPr>
        <w:pStyle w:val="Heading1"/>
      </w:pPr>
      <w:r>
        <w:rPr>
          <w:rFonts w:hint="eastAsia"/>
        </w:rPr>
        <w:lastRenderedPageBreak/>
        <w:t xml:space="preserve">Action requested of the </w:t>
      </w:r>
      <w:r>
        <w:rPr>
          <w:rFonts w:eastAsia="SimSun" w:hint="eastAsia"/>
          <w:lang w:val="en-US" w:eastAsia="zh-CN"/>
        </w:rPr>
        <w:t>committee</w:t>
      </w:r>
    </w:p>
    <w:p w14:paraId="46CC3329" w14:textId="77777777" w:rsidR="00607356" w:rsidRDefault="00840D11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 xml:space="preserve">The Committee is requested to consider the proposal in section </w:t>
      </w:r>
      <w:proofErr w:type="gramStart"/>
      <w:r>
        <w:rPr>
          <w:rFonts w:ascii="Calibri" w:hAnsi="Calibri" w:hint="eastAsia"/>
        </w:rPr>
        <w:t>4, and</w:t>
      </w:r>
      <w:proofErr w:type="gramEnd"/>
      <w:r>
        <w:rPr>
          <w:rFonts w:ascii="Calibri" w:hAnsi="Calibri" w:hint="eastAsia"/>
        </w:rPr>
        <w:t xml:space="preserve"> take action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hAnsi="Calibri" w:hint="eastAsia"/>
        </w:rPr>
        <w:t xml:space="preserve"> as appropriate</w:t>
      </w:r>
      <w:r>
        <w:rPr>
          <w:rFonts w:ascii="Calibri" w:hAnsi="Calibri"/>
        </w:rPr>
        <w:t>.</w:t>
      </w:r>
    </w:p>
    <w:sectPr w:rsidR="0060735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C332C" w14:textId="77777777" w:rsidR="00607356" w:rsidRDefault="00840D11">
      <w:pPr>
        <w:spacing w:line="240" w:lineRule="auto"/>
      </w:pPr>
      <w:r>
        <w:separator/>
      </w:r>
    </w:p>
  </w:endnote>
  <w:endnote w:type="continuationSeparator" w:id="0">
    <w:p w14:paraId="46CC332D" w14:textId="77777777" w:rsidR="00607356" w:rsidRDefault="0084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332F" w14:textId="77777777" w:rsidR="00607356" w:rsidRDefault="00607356">
    <w:pPr>
      <w:pStyle w:val="Footerportrait"/>
    </w:pPr>
  </w:p>
  <w:p w14:paraId="46CC3330" w14:textId="77777777" w:rsidR="00607356" w:rsidRDefault="00840D11">
    <w:pPr>
      <w:pStyle w:val="Footerportrait"/>
    </w:pPr>
    <w:r>
      <w:rPr>
        <w:rFonts w:ascii="Calibri" w:hAnsi="Calibri" w:hint="eastAsia"/>
      </w:rPr>
      <w:t>Proposal for updating G1063 on Agreements for Complementary use of Lighthouses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46CC3331" w14:textId="77777777" w:rsidR="00607356" w:rsidRDefault="00607356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3333" w14:textId="77777777" w:rsidR="00607356" w:rsidRDefault="00840D11">
    <w:pPr>
      <w:pStyle w:val="Footer"/>
      <w:rPr>
        <w:rFonts w:ascii="Calibri" w:hAnsi="Calibri"/>
        <w:b/>
        <w:color w:val="00558C"/>
        <w:sz w:val="15"/>
        <w:lang w:val="en-US"/>
      </w:rPr>
    </w:pPr>
    <w:r>
      <w:rPr>
        <w:rFonts w:ascii="Calibri" w:hAnsi="Calibri" w:hint="eastAsia"/>
        <w:b/>
        <w:color w:val="00558C"/>
        <w:sz w:val="15"/>
        <w:lang w:val="en-US"/>
      </w:rPr>
      <w:t>Proposal for updating G1063 on Agreements for Complementary use of Lighthouses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C332A" w14:textId="77777777" w:rsidR="00607356" w:rsidRDefault="00840D11">
      <w:pPr>
        <w:spacing w:line="240" w:lineRule="auto"/>
      </w:pPr>
      <w:r>
        <w:separator/>
      </w:r>
    </w:p>
  </w:footnote>
  <w:footnote w:type="continuationSeparator" w:id="0">
    <w:p w14:paraId="46CC332B" w14:textId="77777777" w:rsidR="00607356" w:rsidRDefault="00840D11">
      <w:pPr>
        <w:spacing w:line="240" w:lineRule="auto"/>
      </w:pPr>
      <w:r>
        <w:continuationSeparator/>
      </w:r>
    </w:p>
  </w:footnote>
  <w:footnote w:id="1">
    <w:p w14:paraId="46CC3339" w14:textId="77777777" w:rsidR="00607356" w:rsidRDefault="00840D11">
      <w:pPr>
        <w:pStyle w:val="FootnoteText"/>
      </w:pPr>
      <w:r>
        <w:footnoteRef/>
      </w:r>
      <w:r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332E" w14:textId="77777777" w:rsidR="00607356" w:rsidRDefault="00840D11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46CC3334" wp14:editId="46CC3335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3332" w14:textId="77777777" w:rsidR="00607356" w:rsidRDefault="00840D1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6CC3336" wp14:editId="46CC3337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2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191058">
    <w:abstractNumId w:val="19"/>
  </w:num>
  <w:num w:numId="2" w16cid:durableId="1786536023">
    <w:abstractNumId w:val="0"/>
  </w:num>
  <w:num w:numId="3" w16cid:durableId="603534755">
    <w:abstractNumId w:val="3"/>
  </w:num>
  <w:num w:numId="4" w16cid:durableId="1383598236">
    <w:abstractNumId w:val="14"/>
  </w:num>
  <w:num w:numId="5" w16cid:durableId="924873742">
    <w:abstractNumId w:val="1"/>
  </w:num>
  <w:num w:numId="6" w16cid:durableId="750198371">
    <w:abstractNumId w:val="20"/>
  </w:num>
  <w:num w:numId="7" w16cid:durableId="1183318826">
    <w:abstractNumId w:val="15"/>
  </w:num>
  <w:num w:numId="8" w16cid:durableId="480005510">
    <w:abstractNumId w:val="23"/>
  </w:num>
  <w:num w:numId="9" w16cid:durableId="1855800232">
    <w:abstractNumId w:val="22"/>
  </w:num>
  <w:num w:numId="10" w16cid:durableId="2094812542">
    <w:abstractNumId w:val="18"/>
  </w:num>
  <w:num w:numId="11" w16cid:durableId="118963041">
    <w:abstractNumId w:val="13"/>
  </w:num>
  <w:num w:numId="12" w16cid:durableId="1988850897">
    <w:abstractNumId w:val="16"/>
  </w:num>
  <w:num w:numId="13" w16cid:durableId="1861160363">
    <w:abstractNumId w:val="12"/>
  </w:num>
  <w:num w:numId="14" w16cid:durableId="2146073272">
    <w:abstractNumId w:val="5"/>
  </w:num>
  <w:num w:numId="15" w16cid:durableId="1090738932">
    <w:abstractNumId w:val="2"/>
  </w:num>
  <w:num w:numId="16" w16cid:durableId="1895388388">
    <w:abstractNumId w:val="4"/>
  </w:num>
  <w:num w:numId="17" w16cid:durableId="946961278">
    <w:abstractNumId w:val="21"/>
  </w:num>
  <w:num w:numId="18" w16cid:durableId="2050760373">
    <w:abstractNumId w:val="8"/>
  </w:num>
  <w:num w:numId="19" w16cid:durableId="359941054">
    <w:abstractNumId w:val="9"/>
  </w:num>
  <w:num w:numId="20" w16cid:durableId="285545255">
    <w:abstractNumId w:val="7"/>
  </w:num>
  <w:num w:numId="21" w16cid:durableId="641157220">
    <w:abstractNumId w:val="6"/>
  </w:num>
  <w:num w:numId="22" w16cid:durableId="1698969308">
    <w:abstractNumId w:val="17"/>
  </w:num>
  <w:num w:numId="23" w16cid:durableId="726489792">
    <w:abstractNumId w:val="11"/>
  </w:num>
  <w:num w:numId="24" w16cid:durableId="46152405">
    <w:abstractNumId w:val="10"/>
  </w:num>
  <w:num w:numId="25" w16cid:durableId="4990095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MDAwNWQ5ZmM0NGZiMzM1NzBiOTNkNDU5M2JkMWIwNWYifQ=="/>
  </w:docVars>
  <w:rsids>
    <w:rsidRoot w:val="00FE5674"/>
    <w:rsid w:val="000005D3"/>
    <w:rsid w:val="000049D8"/>
    <w:rsid w:val="0002477F"/>
    <w:rsid w:val="00036B9E"/>
    <w:rsid w:val="00037DF4"/>
    <w:rsid w:val="0004700E"/>
    <w:rsid w:val="00057FCA"/>
    <w:rsid w:val="00070C13"/>
    <w:rsid w:val="000715C9"/>
    <w:rsid w:val="00075FBD"/>
    <w:rsid w:val="00084F33"/>
    <w:rsid w:val="000A77A7"/>
    <w:rsid w:val="000B1707"/>
    <w:rsid w:val="000C1B3E"/>
    <w:rsid w:val="000C349E"/>
    <w:rsid w:val="00110203"/>
    <w:rsid w:val="00110AE7"/>
    <w:rsid w:val="0011710C"/>
    <w:rsid w:val="001241C8"/>
    <w:rsid w:val="00141522"/>
    <w:rsid w:val="0014161A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26BC5"/>
    <w:rsid w:val="00237D7C"/>
    <w:rsid w:val="00243228"/>
    <w:rsid w:val="002454D7"/>
    <w:rsid w:val="00251483"/>
    <w:rsid w:val="00255CAA"/>
    <w:rsid w:val="0025741F"/>
    <w:rsid w:val="00264305"/>
    <w:rsid w:val="002768F3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3D8E"/>
    <w:rsid w:val="002E6B74"/>
    <w:rsid w:val="002E6FCA"/>
    <w:rsid w:val="002E7D7E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346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40DBC"/>
    <w:rsid w:val="004533B7"/>
    <w:rsid w:val="004661AD"/>
    <w:rsid w:val="004D1D85"/>
    <w:rsid w:val="004D3C3A"/>
    <w:rsid w:val="004E1CD1"/>
    <w:rsid w:val="004F7098"/>
    <w:rsid w:val="004F7616"/>
    <w:rsid w:val="00502AFD"/>
    <w:rsid w:val="00505C7B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73D34"/>
    <w:rsid w:val="005969F2"/>
    <w:rsid w:val="00597FAE"/>
    <w:rsid w:val="005B32A3"/>
    <w:rsid w:val="005B4076"/>
    <w:rsid w:val="005C0D44"/>
    <w:rsid w:val="005C566C"/>
    <w:rsid w:val="005C7E69"/>
    <w:rsid w:val="005E262D"/>
    <w:rsid w:val="005F23D3"/>
    <w:rsid w:val="005F7E20"/>
    <w:rsid w:val="00605E43"/>
    <w:rsid w:val="00607356"/>
    <w:rsid w:val="00612793"/>
    <w:rsid w:val="006153BB"/>
    <w:rsid w:val="006334CD"/>
    <w:rsid w:val="00635ADD"/>
    <w:rsid w:val="00637047"/>
    <w:rsid w:val="00642F0A"/>
    <w:rsid w:val="00642FD4"/>
    <w:rsid w:val="006652C3"/>
    <w:rsid w:val="00691FD0"/>
    <w:rsid w:val="00692148"/>
    <w:rsid w:val="006A1A1E"/>
    <w:rsid w:val="006A444D"/>
    <w:rsid w:val="006C5948"/>
    <w:rsid w:val="006E2121"/>
    <w:rsid w:val="006F2A74"/>
    <w:rsid w:val="007118F5"/>
    <w:rsid w:val="00712AA4"/>
    <w:rsid w:val="007146C4"/>
    <w:rsid w:val="00721AA1"/>
    <w:rsid w:val="00724B67"/>
    <w:rsid w:val="00742DD4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40D11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1767"/>
    <w:rsid w:val="00892CA4"/>
    <w:rsid w:val="008A356F"/>
    <w:rsid w:val="008A3ECA"/>
    <w:rsid w:val="008A4653"/>
    <w:rsid w:val="008A4717"/>
    <w:rsid w:val="008A50CC"/>
    <w:rsid w:val="008D1694"/>
    <w:rsid w:val="008D4EDE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327B"/>
    <w:rsid w:val="009874F9"/>
    <w:rsid w:val="0099161D"/>
    <w:rsid w:val="009C5F41"/>
    <w:rsid w:val="00A01B17"/>
    <w:rsid w:val="00A0389B"/>
    <w:rsid w:val="00A26017"/>
    <w:rsid w:val="00A446C9"/>
    <w:rsid w:val="00A448B5"/>
    <w:rsid w:val="00A456F5"/>
    <w:rsid w:val="00A56C33"/>
    <w:rsid w:val="00A635D6"/>
    <w:rsid w:val="00A661FA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021"/>
    <w:rsid w:val="00B27152"/>
    <w:rsid w:val="00B274DF"/>
    <w:rsid w:val="00B351F6"/>
    <w:rsid w:val="00B56BDF"/>
    <w:rsid w:val="00B65812"/>
    <w:rsid w:val="00B661C7"/>
    <w:rsid w:val="00B679A6"/>
    <w:rsid w:val="00B80530"/>
    <w:rsid w:val="00B85CD6"/>
    <w:rsid w:val="00B90A27"/>
    <w:rsid w:val="00B93C77"/>
    <w:rsid w:val="00B9554D"/>
    <w:rsid w:val="00BA4DA9"/>
    <w:rsid w:val="00BB0C1E"/>
    <w:rsid w:val="00BB2B9F"/>
    <w:rsid w:val="00BB7D9E"/>
    <w:rsid w:val="00BC2334"/>
    <w:rsid w:val="00BD3CB8"/>
    <w:rsid w:val="00BD4E6F"/>
    <w:rsid w:val="00BE700D"/>
    <w:rsid w:val="00BF32F0"/>
    <w:rsid w:val="00BF4DCE"/>
    <w:rsid w:val="00BF64DC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36DA6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356F"/>
    <w:rsid w:val="00EE4C1D"/>
    <w:rsid w:val="00EF3685"/>
    <w:rsid w:val="00F033E3"/>
    <w:rsid w:val="00F04350"/>
    <w:rsid w:val="00F133DB"/>
    <w:rsid w:val="00F159EB"/>
    <w:rsid w:val="00F25BF4"/>
    <w:rsid w:val="00F267DB"/>
    <w:rsid w:val="00F26CA8"/>
    <w:rsid w:val="00F46F6F"/>
    <w:rsid w:val="00F60608"/>
    <w:rsid w:val="00F62217"/>
    <w:rsid w:val="00F71ACC"/>
    <w:rsid w:val="00F84F73"/>
    <w:rsid w:val="00F962AB"/>
    <w:rsid w:val="00FA2361"/>
    <w:rsid w:val="00FB17A9"/>
    <w:rsid w:val="00FB527C"/>
    <w:rsid w:val="00FB6F75"/>
    <w:rsid w:val="00FC0EB3"/>
    <w:rsid w:val="00FC61E0"/>
    <w:rsid w:val="00FD675E"/>
    <w:rsid w:val="00FE5674"/>
    <w:rsid w:val="0A6C3DC0"/>
    <w:rsid w:val="0B4A603E"/>
    <w:rsid w:val="0C1C357A"/>
    <w:rsid w:val="103A226A"/>
    <w:rsid w:val="193A152D"/>
    <w:rsid w:val="1ADD03C2"/>
    <w:rsid w:val="1CB30958"/>
    <w:rsid w:val="1D252333"/>
    <w:rsid w:val="2100580E"/>
    <w:rsid w:val="21F27CE0"/>
    <w:rsid w:val="233F4AAE"/>
    <w:rsid w:val="26BD2633"/>
    <w:rsid w:val="28764731"/>
    <w:rsid w:val="314774D9"/>
    <w:rsid w:val="374E0226"/>
    <w:rsid w:val="388A34DF"/>
    <w:rsid w:val="38B40AC4"/>
    <w:rsid w:val="3DEF0992"/>
    <w:rsid w:val="3F63444D"/>
    <w:rsid w:val="400E49F6"/>
    <w:rsid w:val="43D10357"/>
    <w:rsid w:val="4DA16275"/>
    <w:rsid w:val="556373A8"/>
    <w:rsid w:val="5AFFC527"/>
    <w:rsid w:val="5EE96902"/>
    <w:rsid w:val="5EF05EE3"/>
    <w:rsid w:val="602C226B"/>
    <w:rsid w:val="60777657"/>
    <w:rsid w:val="63641D46"/>
    <w:rsid w:val="65DF17EC"/>
    <w:rsid w:val="6E876395"/>
    <w:rsid w:val="749D02C3"/>
    <w:rsid w:val="76EA73D1"/>
    <w:rsid w:val="76F31C74"/>
    <w:rsid w:val="7A9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CC32FD"/>
  <w15:docId w15:val="{1A96726F-1EC1-474D-A332-5FDD25B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val="en-GB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val="en-GB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val="en-GB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val="en-GB"/>
    </w:rPr>
  </w:style>
  <w:style w:type="paragraph" w:customStyle="1" w:styleId="Referencetext">
    <w:name w:val="Reference text"/>
    <w:basedOn w:val="Normal"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evision1">
    <w:name w:val="Revision1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36DDB-D573-47B8-B5B4-8A186B33D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1F009-3502-48C6-837D-DB3C5184E9E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AB2B599-EFAA-45DB-98A4-E13C7CD169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3984</Characters>
  <Application>Microsoft Office Word</Application>
  <DocSecurity>0</DocSecurity>
  <Lines>442</Lines>
  <Paragraphs>311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5</cp:revision>
  <dcterms:created xsi:type="dcterms:W3CDTF">2025-02-11T23:12:00Z</dcterms:created>
  <dcterms:modified xsi:type="dcterms:W3CDTF">2025-03-11T15:31:00Z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2052-12.1.0.20305</vt:lpwstr>
  </property>
  <property fmtid="{D5CDD505-2E9C-101B-9397-08002B2CF9AE}" pid="4" name="ICV">
    <vt:lpwstr>ED09E6B6920C440B88D44E86CDB2B820_12</vt:lpwstr>
  </property>
  <property fmtid="{D5CDD505-2E9C-101B-9397-08002B2CF9AE}" pid="5" name="KSOTemplateDocerSaveRecord">
    <vt:lpwstr>eyJoZGlkIjoiOTI2MzNkYzc5MWNkMmE3NjYwMTRkOGQ0Y2Y1ODljMmMiLCJ1c2VySWQiOiI1Mzc1MjM4NjgifQ==</vt:lpwstr>
  </property>
  <property fmtid="{D5CDD505-2E9C-101B-9397-08002B2CF9AE}" pid="6" name="MediaServiceImageTags">
    <vt:lpwstr/>
  </property>
</Properties>
</file>